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55" w:rsidRDefault="00115A55" w:rsidP="00115A55">
      <w:pPr>
        <w:jc w:val="center"/>
        <w:rPr>
          <w:rFonts w:ascii="Arial" w:hAnsi="Arial"/>
          <w:b/>
        </w:rPr>
      </w:pPr>
      <w:r w:rsidRPr="00C84B84">
        <w:rPr>
          <w:rFonts w:ascii="Arial" w:hAnsi="Arial"/>
          <w:b/>
          <w:sz w:val="28"/>
          <w:szCs w:val="28"/>
        </w:rPr>
        <w:t xml:space="preserve">Obec </w:t>
      </w:r>
      <w:r>
        <w:rPr>
          <w:rFonts w:ascii="Arial" w:hAnsi="Arial"/>
          <w:b/>
          <w:sz w:val="28"/>
          <w:szCs w:val="28"/>
        </w:rPr>
        <w:t>DIAKOVÁ</w:t>
      </w:r>
      <w:r>
        <w:rPr>
          <w:rFonts w:ascii="Arial" w:hAnsi="Arial"/>
          <w:b/>
        </w:rPr>
        <w:t xml:space="preserve">, Obecný úrad, Diaková č.18, 038 02 Diaková </w:t>
      </w:r>
    </w:p>
    <w:p w:rsidR="00115A55" w:rsidRDefault="00115A55" w:rsidP="00115A55">
      <w:pPr>
        <w:jc w:val="center"/>
        <w:rPr>
          <w:rFonts w:ascii="Arial" w:hAnsi="Arial"/>
          <w:b/>
          <w:sz w:val="52"/>
        </w:rPr>
      </w:pPr>
    </w:p>
    <w:p w:rsidR="00115A55" w:rsidRDefault="00115A55" w:rsidP="00115A55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Návrh</w:t>
      </w:r>
    </w:p>
    <w:p w:rsidR="00115A55" w:rsidRPr="00D1058C" w:rsidRDefault="00115A55" w:rsidP="00115A55">
      <w:pPr>
        <w:jc w:val="center"/>
        <w:rPr>
          <w:rFonts w:ascii="Arial" w:hAnsi="Arial"/>
          <w:b/>
          <w:sz w:val="36"/>
          <w:szCs w:val="36"/>
        </w:rPr>
      </w:pPr>
    </w:p>
    <w:p w:rsidR="00115A55" w:rsidRPr="00D1058C" w:rsidRDefault="00115A55" w:rsidP="00115A55">
      <w:pPr>
        <w:pStyle w:val="Nadpis1"/>
        <w:rPr>
          <w:rFonts w:ascii="Arial" w:hAnsi="Arial" w:cs="Arial"/>
          <w:color w:val="000000"/>
          <w:sz w:val="36"/>
          <w:szCs w:val="36"/>
        </w:rPr>
      </w:pPr>
      <w:r w:rsidRPr="00D1058C">
        <w:rPr>
          <w:rFonts w:ascii="Arial" w:hAnsi="Arial" w:cs="Arial"/>
          <w:color w:val="000000"/>
          <w:sz w:val="36"/>
          <w:szCs w:val="36"/>
        </w:rPr>
        <w:t xml:space="preserve">Všeobecne záväzné  nariadenie č. </w:t>
      </w:r>
      <w:r>
        <w:rPr>
          <w:rFonts w:ascii="Arial" w:hAnsi="Arial" w:cs="Arial"/>
          <w:sz w:val="36"/>
          <w:szCs w:val="36"/>
        </w:rPr>
        <w:t>02</w:t>
      </w:r>
      <w:r w:rsidRPr="00D1058C">
        <w:rPr>
          <w:rFonts w:ascii="Arial" w:hAnsi="Arial" w:cs="Arial"/>
          <w:sz w:val="36"/>
          <w:szCs w:val="36"/>
        </w:rPr>
        <w:t>/20</w:t>
      </w:r>
      <w:r>
        <w:rPr>
          <w:rFonts w:ascii="Arial" w:hAnsi="Arial" w:cs="Arial"/>
          <w:sz w:val="36"/>
          <w:szCs w:val="36"/>
        </w:rPr>
        <w:t>16</w:t>
      </w:r>
    </w:p>
    <w:p w:rsidR="00115A55" w:rsidRPr="00115A55" w:rsidRDefault="00115A55" w:rsidP="00115A55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1058C">
        <w:rPr>
          <w:b/>
          <w:color w:val="000000"/>
          <w:sz w:val="36"/>
          <w:szCs w:val="36"/>
        </w:rPr>
        <w:t xml:space="preserve"> </w:t>
      </w:r>
      <w:r w:rsidRPr="00115A55">
        <w:rPr>
          <w:rFonts w:ascii="Arial" w:hAnsi="Arial" w:cs="Arial"/>
          <w:b/>
          <w:bCs/>
          <w:sz w:val="36"/>
          <w:szCs w:val="36"/>
        </w:rPr>
        <w:t>O MIESTNOM POPLATKU ZA ROZVOJ V OBCI DIAKOVÁ</w:t>
      </w:r>
    </w:p>
    <w:p w:rsidR="00115A55" w:rsidRPr="00D1058C" w:rsidRDefault="00115A55" w:rsidP="00115A55">
      <w:pPr>
        <w:jc w:val="both"/>
        <w:rPr>
          <w:rFonts w:ascii="Arial" w:hAnsi="Arial"/>
          <w:b/>
          <w:color w:val="000000"/>
          <w:sz w:val="36"/>
          <w:szCs w:val="36"/>
        </w:rPr>
      </w:pPr>
    </w:p>
    <w:p w:rsidR="00115A55" w:rsidRDefault="00115A55" w:rsidP="00115A55">
      <w:pPr>
        <w:jc w:val="center"/>
        <w:rPr>
          <w:rFonts w:ascii="Arial" w:hAnsi="Arial"/>
          <w:b/>
          <w:color w:val="FF0000"/>
        </w:rPr>
      </w:pPr>
    </w:p>
    <w:p w:rsidR="00115A55" w:rsidRDefault="00115A55" w:rsidP="00115A55">
      <w:pPr>
        <w:jc w:val="both"/>
        <w:rPr>
          <w:rFonts w:ascii="Arial" w:hAnsi="Arial"/>
          <w:b/>
        </w:rPr>
      </w:pPr>
    </w:p>
    <w:p w:rsidR="00115A55" w:rsidRDefault="00115A55" w:rsidP="00115A55">
      <w:pPr>
        <w:jc w:val="both"/>
        <w:rPr>
          <w:rFonts w:ascii="Arial" w:hAnsi="Arial"/>
          <w:b/>
        </w:rPr>
      </w:pPr>
    </w:p>
    <w:p w:rsidR="00115A55" w:rsidRDefault="00115A55" w:rsidP="00115A55">
      <w:pPr>
        <w:jc w:val="both"/>
        <w:rPr>
          <w:rFonts w:ascii="Arial" w:hAnsi="Arial"/>
          <w:b/>
        </w:rPr>
      </w:pPr>
    </w:p>
    <w:p w:rsidR="00115A55" w:rsidRDefault="00115A55" w:rsidP="00115A55">
      <w:pPr>
        <w:jc w:val="both"/>
        <w:rPr>
          <w:rFonts w:ascii="Arial" w:hAnsi="Arial"/>
          <w:b/>
        </w:rPr>
      </w:pPr>
    </w:p>
    <w:p w:rsidR="00115A55" w:rsidRDefault="00115A55" w:rsidP="00115A55">
      <w:pPr>
        <w:jc w:val="both"/>
        <w:rPr>
          <w:rFonts w:ascii="Arial" w:hAnsi="Arial"/>
          <w:b/>
        </w:rPr>
      </w:pPr>
    </w:p>
    <w:p w:rsidR="00115A55" w:rsidRDefault="00115A55" w:rsidP="00115A55">
      <w:pPr>
        <w:jc w:val="both"/>
        <w:rPr>
          <w:rFonts w:ascii="Arial" w:hAnsi="Arial"/>
          <w:b/>
        </w:rPr>
      </w:pPr>
    </w:p>
    <w:p w:rsidR="00115A55" w:rsidRDefault="00115A55" w:rsidP="00115A55"/>
    <w:p w:rsidR="00115A55" w:rsidRDefault="00115A55" w:rsidP="00115A55"/>
    <w:p w:rsidR="00115A55" w:rsidRDefault="001B1298" w:rsidP="00115A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Vyvesené dňa: 15</w:t>
      </w:r>
      <w:bookmarkStart w:id="0" w:name="_GoBack"/>
      <w:bookmarkEnd w:id="0"/>
      <w:r w:rsidR="00115A5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11</w:t>
      </w:r>
      <w:r w:rsidR="00115A55">
        <w:rPr>
          <w:rFonts w:ascii="Arial" w:hAnsi="Arial"/>
          <w:sz w:val="22"/>
        </w:rPr>
        <w:t xml:space="preserve">. 2016                                                                Počet strán: </w:t>
      </w:r>
      <w:r w:rsidR="009E4B17">
        <w:rPr>
          <w:rFonts w:ascii="Arial" w:hAnsi="Arial"/>
          <w:sz w:val="22"/>
        </w:rPr>
        <w:t>4</w:t>
      </w:r>
    </w:p>
    <w:p w:rsidR="00115A55" w:rsidRDefault="00115A55" w:rsidP="00115A55">
      <w:pPr>
        <w:jc w:val="both"/>
        <w:rPr>
          <w:rFonts w:ascii="Arial" w:hAnsi="Arial"/>
          <w:sz w:val="22"/>
        </w:rPr>
      </w:pPr>
    </w:p>
    <w:p w:rsidR="00115A55" w:rsidRDefault="00115A55" w:rsidP="00115A55">
      <w:pPr>
        <w:jc w:val="both"/>
        <w:rPr>
          <w:rFonts w:ascii="Arial" w:hAnsi="Arial"/>
          <w:sz w:val="22"/>
        </w:rPr>
      </w:pPr>
    </w:p>
    <w:p w:rsidR="00115A55" w:rsidRDefault="00115A55" w:rsidP="00115A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Zvesené dňa:</w:t>
      </w:r>
      <w:r>
        <w:rPr>
          <w:rFonts w:ascii="Arial" w:hAnsi="Arial"/>
          <w:sz w:val="22"/>
        </w:rPr>
        <w:tab/>
        <w:t>.. . .. . 2016</w:t>
      </w:r>
    </w:p>
    <w:p w:rsidR="00115A55" w:rsidRDefault="00115A55" w:rsidP="00115A55">
      <w:pPr>
        <w:jc w:val="both"/>
        <w:rPr>
          <w:rFonts w:ascii="Arial" w:hAnsi="Arial"/>
          <w:sz w:val="22"/>
        </w:rPr>
      </w:pPr>
    </w:p>
    <w:p w:rsidR="00115A55" w:rsidRDefault="00115A55" w:rsidP="00115A55">
      <w:pPr>
        <w:jc w:val="both"/>
        <w:rPr>
          <w:rFonts w:ascii="Arial" w:hAnsi="Arial"/>
          <w:sz w:val="22"/>
        </w:rPr>
      </w:pPr>
    </w:p>
    <w:p w:rsidR="00115A55" w:rsidRDefault="00115A55" w:rsidP="00115A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Schválené dňa: .. . .. . 2016</w:t>
      </w:r>
    </w:p>
    <w:p w:rsidR="00115A55" w:rsidRDefault="00115A55" w:rsidP="00115A55">
      <w:pPr>
        <w:jc w:val="both"/>
        <w:rPr>
          <w:rFonts w:ascii="Arial" w:hAnsi="Arial"/>
          <w:sz w:val="22"/>
        </w:rPr>
      </w:pPr>
    </w:p>
    <w:p w:rsidR="00115A55" w:rsidRDefault="00115A55" w:rsidP="00115A55">
      <w:pPr>
        <w:jc w:val="both"/>
        <w:rPr>
          <w:sz w:val="22"/>
        </w:rPr>
      </w:pPr>
    </w:p>
    <w:p w:rsidR="00115A55" w:rsidRDefault="00115A55" w:rsidP="00115A55">
      <w:pPr>
        <w:spacing w:line="380" w:lineRule="exact"/>
        <w:rPr>
          <w:rFonts w:ascii="Arial" w:hAnsi="Arial"/>
        </w:rPr>
      </w:pPr>
      <w:r>
        <w:rPr>
          <w:rFonts w:ascii="Arial" w:hAnsi="Arial"/>
        </w:rPr>
        <w:t> </w:t>
      </w:r>
    </w:p>
    <w:p w:rsidR="00115A55" w:rsidRDefault="00115A55" w:rsidP="00115A55">
      <w:pPr>
        <w:spacing w:line="380" w:lineRule="exact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115A55" w:rsidRDefault="00115A55" w:rsidP="00115A55">
      <w:pPr>
        <w:pStyle w:val="Nadpis"/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Spracoval: </w:t>
      </w:r>
      <w:r>
        <w:rPr>
          <w:rFonts w:cs="Arial"/>
          <w:b/>
          <w:bCs/>
          <w:sz w:val="24"/>
          <w:szCs w:val="24"/>
        </w:rPr>
        <w:t xml:space="preserve">Bc. Róbert </w:t>
      </w:r>
      <w:proofErr w:type="spellStart"/>
      <w:r>
        <w:rPr>
          <w:rFonts w:cs="Arial"/>
          <w:b/>
          <w:bCs/>
          <w:sz w:val="24"/>
          <w:szCs w:val="24"/>
        </w:rPr>
        <w:t>Ivaška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r>
        <w:rPr>
          <w:sz w:val="22"/>
        </w:rPr>
        <w:t>– starosta obce</w:t>
      </w:r>
    </w:p>
    <w:p w:rsidR="00115A55" w:rsidRDefault="00115A55" w:rsidP="00115A55">
      <w:pPr>
        <w:pStyle w:val="Nadpis"/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15A55" w:rsidRDefault="00115A55" w:rsidP="00115A55">
      <w:pPr>
        <w:pStyle w:val="Nadpis"/>
        <w:tabs>
          <w:tab w:val="left" w:pos="720"/>
        </w:tabs>
        <w:jc w:val="both"/>
        <w:rPr>
          <w:sz w:val="22"/>
        </w:rPr>
      </w:pPr>
    </w:p>
    <w:p w:rsidR="00115A55" w:rsidRDefault="00115A55" w:rsidP="00115A55">
      <w:pPr>
        <w:pStyle w:val="Nadpis"/>
        <w:tabs>
          <w:tab w:val="left" w:pos="720"/>
        </w:tabs>
        <w:jc w:val="both"/>
        <w:rPr>
          <w:sz w:val="22"/>
        </w:rPr>
      </w:pPr>
    </w:p>
    <w:p w:rsidR="00115A55" w:rsidRDefault="00115A55" w:rsidP="00115A55">
      <w:pPr>
        <w:pStyle w:val="Nadpis"/>
        <w:tabs>
          <w:tab w:val="left" w:pos="720"/>
        </w:tabs>
        <w:jc w:val="both"/>
        <w:rPr>
          <w:sz w:val="22"/>
        </w:rPr>
      </w:pPr>
    </w:p>
    <w:p w:rsidR="00115A55" w:rsidRDefault="00115A55" w:rsidP="00115A55">
      <w:pPr>
        <w:pStyle w:val="Nadpis"/>
        <w:tabs>
          <w:tab w:val="left" w:pos="720"/>
        </w:tabs>
        <w:jc w:val="both"/>
        <w:rPr>
          <w:sz w:val="22"/>
        </w:rPr>
      </w:pPr>
    </w:p>
    <w:p w:rsidR="00115A55" w:rsidRDefault="00115A55" w:rsidP="00115A55">
      <w:pPr>
        <w:pStyle w:val="Nadpis"/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</w:p>
    <w:p w:rsidR="00115A55" w:rsidRDefault="00115A55" w:rsidP="00115A55">
      <w:pPr>
        <w:pStyle w:val="Nadpis"/>
        <w:pBdr>
          <w:bottom w:val="single" w:sz="4" w:space="1" w:color="000000"/>
        </w:pBdr>
        <w:tabs>
          <w:tab w:val="left" w:pos="720"/>
        </w:tabs>
        <w:jc w:val="both"/>
        <w:rPr>
          <w:sz w:val="22"/>
        </w:rPr>
      </w:pPr>
      <w:r>
        <w:rPr>
          <w:sz w:val="22"/>
        </w:rPr>
        <w:t>Účinnosť: 1.január 2017</w:t>
      </w:r>
    </w:p>
    <w:p w:rsidR="004B1791" w:rsidRDefault="004B1791" w:rsidP="004B1791">
      <w:pPr>
        <w:pStyle w:val="Default"/>
      </w:pPr>
    </w:p>
    <w:p w:rsidR="004B1791" w:rsidRDefault="004B1791" w:rsidP="00115A55">
      <w:pPr>
        <w:pStyle w:val="Default"/>
        <w:rPr>
          <w:sz w:val="22"/>
          <w:szCs w:val="22"/>
        </w:rPr>
      </w:pPr>
      <w:r>
        <w:lastRenderedPageBreak/>
        <w:t xml:space="preserve">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Obecné zastupiteľstvo v </w:t>
      </w:r>
      <w:r w:rsidR="00115A55">
        <w:rPr>
          <w:sz w:val="22"/>
          <w:szCs w:val="22"/>
        </w:rPr>
        <w:t>Diakovej</w:t>
      </w:r>
      <w:r>
        <w:rPr>
          <w:sz w:val="22"/>
          <w:szCs w:val="22"/>
        </w:rPr>
        <w:t xml:space="preserve"> (ďalej len "obecné zastupiteľstvo") podľa § 6 ods. 1 a § 11 ods. 4 písm. g) zákona č. 369/1990 Zb. o obecnom zriadení, podľa § 2 zákona č. 447/2015 Z. z. o miestnom poplatku za rozvoj a o zmene a doplnení niektorých zákonov, sa uznieslo na tomto všeobecne záväznom nariadení (ďalej len „nariadenie“).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Úvodné ustanovenia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Toto nariadenie zavádza na území obce </w:t>
      </w:r>
      <w:r w:rsidR="00115A55">
        <w:rPr>
          <w:sz w:val="22"/>
          <w:szCs w:val="22"/>
        </w:rPr>
        <w:t>Diaková</w:t>
      </w:r>
      <w:r>
        <w:rPr>
          <w:sz w:val="22"/>
          <w:szCs w:val="22"/>
        </w:rPr>
        <w:t xml:space="preserve"> (ďalej len "obec") miestny poplatok za rozvoj (ďalej len "poplatok za rozvoj").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Predmet poplatku za rozvoj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(1) Predmetom poplatku za rozvoj je pozemná stavba na území obce, na ktorú je vydané právoplatné stavebné povolenie,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ktorým sa povoľuje stavba (ďalej len "stavebné povolenie").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.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Predmetom poplatku za rozvoj nie je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odstránenie poruchy stavby alebo havarijného stavu stavby,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drobná stavba, nadstavba a prístavba s výmerou podlahovej plochy do 25 m2,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stavba rodinného domu s výmerou podlahovej plochy do 150 m2,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stavba alebo časť stavby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sociálneho bývania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alebo slúžiaca na vykonávanie sociálnoprávnej ochrany detí a sociálnej kurately,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vstavanej garáže a parkovacieho státia v rámci existujúcej stavby,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zdravotníckeho zariadenia,3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slúžiaca materským školám, na základné vzdelávanie,</w:t>
      </w:r>
      <w:r>
        <w:rPr>
          <w:sz w:val="14"/>
          <w:szCs w:val="14"/>
        </w:rPr>
        <w:t xml:space="preserve">4 </w:t>
      </w:r>
      <w:r>
        <w:rPr>
          <w:sz w:val="22"/>
          <w:szCs w:val="22"/>
        </w:rPr>
        <w:t>na stredné vzdelávanie,</w:t>
      </w:r>
      <w:r>
        <w:rPr>
          <w:sz w:val="14"/>
          <w:szCs w:val="14"/>
        </w:rPr>
        <w:t xml:space="preserve">5 </w:t>
      </w:r>
      <w:r>
        <w:rPr>
          <w:sz w:val="22"/>
          <w:szCs w:val="22"/>
        </w:rPr>
        <w:t>na vyššie odborné vzdelávanie,</w:t>
      </w:r>
      <w:r>
        <w:rPr>
          <w:sz w:val="14"/>
          <w:szCs w:val="14"/>
        </w:rPr>
        <w:t xml:space="preserve">6 </w:t>
      </w:r>
      <w:r>
        <w:rPr>
          <w:sz w:val="22"/>
          <w:szCs w:val="22"/>
        </w:rPr>
        <w:t xml:space="preserve">na vysokoškolské vzdelávanie vo verejných vysokých školách, výlučne strediskám praktického vyučovania alebo špecializovanému výučbovému zariadeniu verejnej vysokej školy,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slúžiaca zariadeniu sociálnych služieb,7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slúžiaca na vykonávanie náboženských obradov cirkví a náboženských spoločností registrovaných štátom,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slúžiaca na obranu štátu,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slúžiaca na účely múzea, knižnice, galérie a kultúrneho strediska. </w:t>
      </w:r>
    </w:p>
    <w:p w:rsidR="004B1791" w:rsidRDefault="004B1791" w:rsidP="004B17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 </w:t>
      </w:r>
    </w:p>
    <w:p w:rsidR="00115A55" w:rsidRDefault="004B1791" w:rsidP="00115A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Vznik, zánik poplatkovej povinnosti a oznamovacia povinnosť </w:t>
      </w:r>
    </w:p>
    <w:p w:rsidR="004B1791" w:rsidRDefault="004B1791" w:rsidP="00115A5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Poplatková povinnosť zaniká dňom, ktorým stavebné povolenie stratilo platnosť, ak súčasne poplatník nezačal stavbu realizovať.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(3) Ak stavba slúži na viaceré účely, poplatník je povinný oznámiť obci najneskôr v deň vzniku poplatkovej povinnosti výmeru podlahovej plochy nadzemnej časti stavby podľa príslušného účelu využitia podlahovej plochy.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Poplatník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(1) Poplatníkom je fyzická osoba alebo právnická osoba, ktorej bolo ako stavebníkovi</w:t>
      </w:r>
      <w:r>
        <w:rPr>
          <w:color w:val="auto"/>
          <w:sz w:val="14"/>
          <w:szCs w:val="14"/>
        </w:rPr>
        <w:t xml:space="preserve">8 </w:t>
      </w:r>
      <w:r>
        <w:rPr>
          <w:color w:val="auto"/>
          <w:sz w:val="22"/>
          <w:szCs w:val="22"/>
        </w:rPr>
        <w:t xml:space="preserve">vydané stavebné povolenie. </w:t>
      </w:r>
    </w:p>
    <w:p w:rsidR="004B1791" w:rsidRDefault="00115A55" w:rsidP="004B1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4B1791">
        <w:rPr>
          <w:color w:val="auto"/>
          <w:sz w:val="22"/>
          <w:szCs w:val="22"/>
        </w:rPr>
        <w:t xml:space="preserve">(2) Poplatníkom nie je obec, alebo samosprávny kraj alebo štát, ktorá ako stavebník uskutočňuje stavbu na svojom území.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(3) Ak uskutočňuje stavbu viac stavebníkov uvedených v právoplatnom stavebnom povolení, poplatníkom je každý stavebník v rovnakom pomere, ak sa nedohodnú inak. Ak sa všetci poplatníci dohodnú, poplatníkov zastupuje jeden z nich (ďalej len "zástupca") a ostatní poplatníci ručia za poplatok za rozvoj v rovnakom pomere, pričom túto skutočnosť zástupca písomne oznámi obci najneskôr v deň vzniku poplatkovej povinnosti.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(4) Ak uskutočňujú stavbu manželia v rozsahu bezpodielového spoluvlastníctva manželov, poplatníkmi sú obaja manželia, ktorí ručia za poplatok za rozvoj spoločne a nerozdielne. </w:t>
      </w:r>
    </w:p>
    <w:p w:rsidR="00986AA0" w:rsidRDefault="00986AA0" w:rsidP="004B1791">
      <w:pPr>
        <w:pStyle w:val="Default"/>
        <w:rPr>
          <w:b/>
          <w:bCs/>
          <w:color w:val="auto"/>
          <w:sz w:val="22"/>
          <w:szCs w:val="22"/>
        </w:rPr>
      </w:pP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5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Základ poplatku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Základom poplatku za rozvoj je výmera nadzemnej časti podlahovej plochy realizovanej stavby v m2, pričom na účely tohto nariadenia sa za podlahovú plochu nadzemnej časti stavby považuje súčet výmery všetkých miestností v nadzemných podlažiach</w:t>
      </w:r>
      <w:r>
        <w:rPr>
          <w:color w:val="auto"/>
          <w:sz w:val="14"/>
          <w:szCs w:val="14"/>
        </w:rPr>
        <w:t xml:space="preserve">9 </w:t>
      </w:r>
      <w:r>
        <w:rPr>
          <w:color w:val="auto"/>
          <w:sz w:val="22"/>
          <w:szCs w:val="22"/>
        </w:rPr>
        <w:t xml:space="preserve">stavby.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6 </w:t>
      </w:r>
    </w:p>
    <w:p w:rsidR="00F81C1F" w:rsidRDefault="004B1791" w:rsidP="00F81C1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Sadzba poplatku za rozvoj </w:t>
      </w:r>
    </w:p>
    <w:p w:rsidR="00F81C1F" w:rsidRDefault="00F81C1F" w:rsidP="00F81C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Obec stanovuje rôzne sadzby poplatku za rozvoj v členení podľa stavieb, nasledovne : </w:t>
      </w:r>
    </w:p>
    <w:p w:rsidR="004B1791" w:rsidRDefault="004B1791" w:rsidP="004B1791">
      <w:pPr>
        <w:pStyle w:val="Default"/>
        <w:rPr>
          <w:color w:val="auto"/>
          <w:sz w:val="22"/>
          <w:szCs w:val="22"/>
        </w:rPr>
      </w:pPr>
    </w:p>
    <w:tbl>
      <w:tblPr>
        <w:tblStyle w:val="Mriekatabuky"/>
        <w:tblW w:w="0" w:type="auto"/>
        <w:tblLayout w:type="fixed"/>
        <w:tblLook w:val="0000" w:firstRow="0" w:lastRow="0" w:firstColumn="0" w:lastColumn="0" w:noHBand="0" w:noVBand="0"/>
      </w:tblPr>
      <w:tblGrid>
        <w:gridCol w:w="4329"/>
        <w:gridCol w:w="4329"/>
      </w:tblGrid>
      <w:tr w:rsidR="004B1791" w:rsidTr="00F81C1F">
        <w:trPr>
          <w:trHeight w:val="110"/>
        </w:trPr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účel vyžitia stavby </w:t>
            </w:r>
          </w:p>
        </w:tc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sadzba poplatku na m2 v Euro </w:t>
            </w:r>
          </w:p>
        </w:tc>
      </w:tr>
      <w:tr w:rsidR="004B1791" w:rsidTr="00F81C1F">
        <w:trPr>
          <w:trHeight w:val="130"/>
        </w:trPr>
        <w:tc>
          <w:tcPr>
            <w:tcW w:w="4329" w:type="dxa"/>
          </w:tcPr>
          <w:p w:rsidR="004B1791" w:rsidRDefault="00F81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stavby na bývanie</w:t>
            </w:r>
          </w:p>
        </w:tc>
        <w:tc>
          <w:tcPr>
            <w:tcW w:w="4329" w:type="dxa"/>
          </w:tcPr>
          <w:p w:rsidR="004B1791" w:rsidRDefault="00F81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B1791">
              <w:rPr>
                <w:sz w:val="22"/>
                <w:szCs w:val="22"/>
              </w:rPr>
              <w:t xml:space="preserve"> Eur </w:t>
            </w:r>
          </w:p>
        </w:tc>
      </w:tr>
      <w:tr w:rsidR="004B1791" w:rsidTr="00F81C1F">
        <w:trPr>
          <w:trHeight w:val="513"/>
        </w:trPr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stavby na pôdohospodársku produkciu, skleníky, stavby pre vodné hospodárstvo, stavby využívané na skladovanie vlastnej pôdohospodárskej produkcie vrátane stavieb na vlastnú administratívu </w:t>
            </w:r>
          </w:p>
        </w:tc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Eur </w:t>
            </w:r>
          </w:p>
        </w:tc>
      </w:tr>
      <w:tr w:rsidR="004B1791" w:rsidTr="00F81C1F">
        <w:trPr>
          <w:trHeight w:val="244"/>
        </w:trPr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priemyselné stavby a stavby využívané na skladovanie vrátane stavieb na vlastnú administratívu </w:t>
            </w:r>
          </w:p>
        </w:tc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Eur </w:t>
            </w:r>
          </w:p>
        </w:tc>
      </w:tr>
      <w:tr w:rsidR="004B1791" w:rsidTr="00F81C1F">
        <w:trPr>
          <w:trHeight w:val="379"/>
        </w:trPr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stavby na ostatné podnikanie a na zárobkovú činnosť, stavby využívané na skladovanie a administratívu súvisiacu s ostatným podnikaním a so zárobkovou činnosťou </w:t>
            </w:r>
          </w:p>
        </w:tc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Eur </w:t>
            </w:r>
          </w:p>
        </w:tc>
      </w:tr>
      <w:tr w:rsidR="004B1791" w:rsidTr="00F81C1F">
        <w:trPr>
          <w:trHeight w:val="110"/>
        </w:trPr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ostatné stavby </w:t>
            </w:r>
          </w:p>
        </w:tc>
        <w:tc>
          <w:tcPr>
            <w:tcW w:w="4329" w:type="dxa"/>
          </w:tcPr>
          <w:p w:rsidR="004B1791" w:rsidRDefault="004B17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Eur </w:t>
            </w:r>
          </w:p>
        </w:tc>
      </w:tr>
    </w:tbl>
    <w:p w:rsidR="00D343A3" w:rsidRDefault="00D343A3"/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§ 7 </w:t>
      </w:r>
    </w:p>
    <w:p w:rsid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Výpočet poplatku za rozvoj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(1) Poplatok za rozvoj sa vypočíta ako súčin základu poplatku podľa § 5 a sadzby poplatku za rozvoj platnej v čase vzniku poplatkovej povinnosti podľa § 6.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(2) Ak stavba slúži na viaceré účely, poplatok za rozvoj sa vypočíta ako súčet pomerných častí poplatku za rozvoj, pričom pomerná časť poplatku za rozvoj sa vypočíta ako súčin sadzby poplatku podľa § 6 a podlahovej plochy na príslušný účel využitia stavby.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(3) Vypočítaný poplatok za rozvoj sa zaokrúhli na eurocenty nadol.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§ 8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Vyrubenie, splatnosť a platenie poplatku za rozvoj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(1) Poplatok za rozvoj vyrubí obec rozhodnutím.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(2) Ak zastupuje poplatníkov zástupca určený podľa § 4 ods. 3, obec vyrubí poplatok za rozvoj rozhodnutím v celkovej sume tomuto zástupcovi. Ak sú poplatníkmi manželia podľa § 4 ods. 4, obec vyrubí poplatok za rozvoj rozhodnutím v celkovej sume jednému z nich.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(3) Vyrubený poplatok za rozvoj je splatný do 15 dní odo dňa nadobudnutia právoplatnosti rozhodnutia podľa odseku 1.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(4) Obec môže určiť na základe žiadosti poplatníka platenie poplatku za rozvoj v splátkach. Splátky sú splatné v lehotách určených obcou v rozhodnutí, ktorým sa o platení v splátkach rozhoduje; proti tomuto rozhodnutiu sa nemožno odvolať.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§ 9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Vrátenie poplatku za rozvoj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(1) Ak poplatník neoznámi zánik poplatkovej povinnosti podľa § 3 ods. 2 obci do 60 dní odo dňa jej zániku, nárok na vrátenie poplatku za rozvoj zaniká.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(2) Obec vráti poplatok za rozvoj poplatníkovi na základe žiadosti do 60 dní odo dňa právoplatnosti rozhodnutia o vrátení poplatku za rozvoj. </w:t>
      </w:r>
    </w:p>
    <w:p w:rsid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 xml:space="preserve">§ 10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Použitie výnosu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(1) Poplatok za rozvoj je príjmom rozpočtu obce.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>(2) Výnos z poplatku za rozvoj je možné použiť na úhradu kapitálových výdavkov</w:t>
      </w:r>
      <w:r w:rsidRPr="00F81C1F">
        <w:rPr>
          <w:rFonts w:ascii="Calibri" w:eastAsiaTheme="minorHAnsi" w:hAnsi="Calibri" w:cs="Calibri"/>
          <w:sz w:val="14"/>
          <w:szCs w:val="14"/>
          <w:lang w:eastAsia="en-US"/>
        </w:rPr>
        <w:t xml:space="preserve">11 </w:t>
      </w: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súvisiacich so stavbou vrátane vysporiadania pozemku na tento účel: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a) zariadenia starostlivosti o deti,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b) slúžiacou na poskytovanie sociálnych, športových a kultúrnych služieb,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c) sociálneho bývania,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d) školského zariadenia a zariadenia slúžiaceho na praktické vyučovanie,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e) zdravotníckeho zariadenia,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f) verejne prístupného parku, úpravou verejnej zelene,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g) miestnej komunikácie, parkovacích plôch a technickej infraštruktúry.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§ 11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Správa poplatku za rozvoj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(1) Správu poplatku za rozvoj vykonáva obec, ktorá ho na svojom území uložila.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(2) Správou poplatku za rozvoj nie je možné poveriť iné právnické osoby alebo fyzické osoby. </w:t>
      </w:r>
    </w:p>
    <w:p w:rsid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>(3) Na správu poplatku za rozvoj sa vzťahuje osobitný predpis,</w:t>
      </w:r>
      <w:r w:rsidRPr="00F81C1F">
        <w:rPr>
          <w:rFonts w:ascii="Calibri" w:eastAsiaTheme="minorHAnsi" w:hAnsi="Calibri" w:cs="Calibri"/>
          <w:sz w:val="14"/>
          <w:szCs w:val="14"/>
          <w:lang w:eastAsia="en-US"/>
        </w:rPr>
        <w:t xml:space="preserve">12 </w:t>
      </w: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ak § 4, § 7 až 10 tohto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nariadenia neustanovujú inak.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§ 12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Záverečné ustanovenia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1. Toto nariadenie nadobúda účinnosť 01.01.2017.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2. Zmeny a doplnky tohto nariadenia sa môžu vykonať len všeobecne záväzným nariadením.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3. Toto nariadenie bolo schválené uznesením obecného zastupiteľstva č. xx/2016 dňa xx.xx.2016. </w:t>
      </w:r>
    </w:p>
    <w:p w:rsid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Bc. Róbert </w:t>
      </w:r>
      <w:proofErr w:type="spellStart"/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Ivaška</w:t>
      </w:r>
      <w:proofErr w:type="spellEnd"/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starosta obce </w:t>
      </w:r>
    </w:p>
    <w:p w:rsid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81C1F" w:rsidRPr="00F81C1F" w:rsidRDefault="00F81C1F" w:rsidP="00F81C1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Dôvodová správa :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Od 01.11.2016 nadobudne účinnosť zákon č. 447/2015 </w:t>
      </w:r>
      <w:proofErr w:type="spellStart"/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>Z.z</w:t>
      </w:r>
      <w:proofErr w:type="spellEnd"/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>. o miestnom poplatku za rozvoj a o zmene a doplnení niektorých zákonov podľa ktorého môže obec vyrubovať miestny poplatok za rozvoj. Získané finančné prostriedk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y môžu byť použité výlučne na </w:t>
      </w: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úhradu kapitálových výdavkov súvisiacich so stavbou vrátane vysporiadania pozemku na tento účel: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a) zariadenia starostlivosti o deti,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b) slúžiacou na poskytovanie sociálnych, športových a kultúrnych služieb,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c) sociálneho bývania,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d) školského zariadenia a zariadenia slúžiaceho na praktické vyučovanie,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e) zdravotníckeho zariadenia,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f) verejne prístupného parku, úpravou verejnej zelene, </w:t>
      </w: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g) miestnej komunikácie, parkovacích plôch a technickej infraštruktúry. </w:t>
      </w:r>
    </w:p>
    <w:p w:rsid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>Výška miest</w:t>
      </w:r>
      <w:r>
        <w:rPr>
          <w:rFonts w:ascii="Calibri" w:eastAsiaTheme="minorHAnsi" w:hAnsi="Calibri" w:cs="Calibri"/>
          <w:sz w:val="22"/>
          <w:szCs w:val="22"/>
          <w:lang w:eastAsia="en-US"/>
        </w:rPr>
        <w:t>neho poplatku za rozvoj je od 20</w:t>
      </w: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 eur do 35 eur za každý, aj začatý m2 podlahovej plochy nadzemnej časti stavby. </w:t>
      </w:r>
    </w:p>
    <w:p w:rsid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>Lehota na pripomienkova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nie VZN do </w:t>
      </w:r>
      <w:r w:rsidR="00D2214E">
        <w:rPr>
          <w:rFonts w:ascii="Calibri" w:eastAsiaTheme="minorHAnsi" w:hAnsi="Calibri" w:cs="Calibri"/>
          <w:sz w:val="22"/>
          <w:szCs w:val="22"/>
          <w:lang w:eastAsia="en-US"/>
        </w:rPr>
        <w:t xml:space="preserve"> 24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.11</w:t>
      </w: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.2016 </w:t>
      </w:r>
    </w:p>
    <w:p w:rsid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81C1F" w:rsidRPr="00F81C1F" w:rsidRDefault="00F81C1F" w:rsidP="00F81C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>Počas lehoty môžu fyzické osoby a právnické osoby uplatniť pripomienku k návrhu nariadenia v písomnej forme, elektronicky (</w:t>
      </w:r>
      <w:r>
        <w:rPr>
          <w:rFonts w:ascii="Calibri" w:eastAsiaTheme="minorHAnsi" w:hAnsi="Calibri" w:cs="Calibri"/>
          <w:sz w:val="22"/>
          <w:szCs w:val="22"/>
          <w:lang w:eastAsia="en-US"/>
        </w:rPr>
        <w:t>obecdiakovamail.com</w:t>
      </w:r>
      <w:r w:rsidRPr="00F81C1F">
        <w:rPr>
          <w:rFonts w:ascii="Calibri" w:eastAsiaTheme="minorHAnsi" w:hAnsi="Calibri" w:cs="Calibri"/>
          <w:sz w:val="22"/>
          <w:szCs w:val="22"/>
          <w:lang w:eastAsia="en-US"/>
        </w:rPr>
        <w:t xml:space="preserve">) alebo ústne do zápisnice na obecnom úrade. Pripomienkou možno v určenej lehote navrhnúť nový text alebo odporučiť úpravu textu, a to doplnenie, zmenu, vypustenie alebo spresnenie pôvodného textu. Z pripomienky musí byť zrejmé, kto ju predkladá. Na ostatné podnety nemusí navrhovateľ nariadenia prihliadať, a to najmä vtedy, ak nie sú zdôvodnené. </w:t>
      </w:r>
    </w:p>
    <w:p w:rsidR="00F81C1F" w:rsidRDefault="00F81C1F" w:rsidP="00F81C1F"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Bc. Róbert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Ivaška</w:t>
      </w:r>
      <w:proofErr w:type="spellEnd"/>
    </w:p>
    <w:sectPr w:rsidR="00F8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91"/>
    <w:rsid w:val="00115A55"/>
    <w:rsid w:val="001B1298"/>
    <w:rsid w:val="00216106"/>
    <w:rsid w:val="004B1791"/>
    <w:rsid w:val="00986AA0"/>
    <w:rsid w:val="009E4B17"/>
    <w:rsid w:val="00D2214E"/>
    <w:rsid w:val="00D343A3"/>
    <w:rsid w:val="00F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FD40-E735-41A3-909F-CC652180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5A55"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B17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15A5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customStyle="1" w:styleId="Nadpis">
    <w:name w:val="Nadpis"/>
    <w:basedOn w:val="Normlny"/>
    <w:next w:val="Zkladntext"/>
    <w:rsid w:val="00115A5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115A5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15A5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8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B12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29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IVAŠKA Róbert</dc:creator>
  <cp:keywords/>
  <dc:description/>
  <cp:lastModifiedBy>IVAŠKA Róbert</cp:lastModifiedBy>
  <cp:revision>8</cp:revision>
  <cp:lastPrinted>2016-11-20T17:55:00Z</cp:lastPrinted>
  <dcterms:created xsi:type="dcterms:W3CDTF">2016-10-05T15:57:00Z</dcterms:created>
  <dcterms:modified xsi:type="dcterms:W3CDTF">2016-11-20T18:09:00Z</dcterms:modified>
</cp:coreProperties>
</file>